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211. “AI 智能体，替你干活”——AI Agent、智能体服务订阅付费意愿研究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 AI 智能体（自动写报告/订票/比价等任务代理）的职场人/学生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核心问题/变量：使用场景、效率提升感知、订阅价格接受（月费）、与免费工具对比、续费意愿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H1：使用场景、效率提升感知显著影响续费意愿（待验证）；H2：不同人群（年龄/收入/城市等级）在上述关系中存在调节作用（待验证）。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✅中国企业级AI智能体市场2025年212亿元→2026年预计449亿元（IDC）；✅全球AI智能体市场2024年51亿美元→2030年预计471亿美元（CAGR 44.8%）；✅IDC预测全球活跃智能体2026年7940万个→2030年22.16亿个（中国CAGR 151.2%）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AI 工具用户社群/高校渠道；议题新、评委关注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✅中国企业级AI智能体市场2025年212亿元→2026年预计449亿元（IDC）；✅全球AI智能体市场2024年51亿美元→2030年预计471亿美元（CAGR 44.8%）；✅IDC预测全球活跃智能体2026年7940万个→2030年22.16亿个（中国CAGR 151.2%）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