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216. “AI 手机，换机新引擎”——AI 手机、AI 电脑消费意愿与体验研究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研究对象：18—45岁关注 AI 终端（AI手机/AI PC）的消费者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核心问题/变量：AI功能认知（端侧大模型/通话摘要/修图）、换机动机、价格接受、隐私顾虑、购买意愿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H1：AI功能认知（端侧大模型/通话摘要/修图）、换机动机显著影响购买意愿（待验证）；H2：不同人群（年龄/收入/城市等级）在上述关系中存在调节作用（待验证）。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手机/AI电脑销量2026年预计首次超过非AI产品（国家发改委透露重点行业AI渗透率破80%）；✅国家统计局：1—7月规模以上可穿戴智能设备零售额增长超1倍（新华网）；✅AI眼镜等智能消费扩容（新华网2026半年报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数码测评社群/校园渠道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AI手机/AI电脑销量2026年预计首次超过非AI产品（国家发改委透露重点行业AI渗透率破80%）；✅国家统计局：1—7月规模以上可穿戴智能设备零售额增长超1倍（新华网）；✅AI眼镜等智能消费扩容（新华网2026半年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