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294. “AI绘画，副业真相”——AI绘画、生成式创作变现与创作者生态研究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研究对象：尝试AI绘画接单/创作的创作者（含副业人群）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核心问题/变量：创作工具、接单渠道、收入区间、竞争感知（价格内卷）、版权认知、持续意愿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H1：创作工具、接单渠道显著影响持续意愿（待验证）；H2：不同人群（年龄/收入/城市等级）在上述关系中存在调节作用（待验证）。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✅中国AI绘画市场规模预计达154亿元（全球破870亿美元）；✅超六成接单者2026上半年月收入不足800元、单价从500元卷到50元（媒体🔶）；✅生成式AI用户5.15亿（CNNIC，第二批已核验）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AI绘画社群/自媒体创作渠道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✅中国AI绘画市场规模预计达154亿元（全球破870亿美元）；✅超六成接单者2026上半年月收入不足800元、单价从500元卷到50元（媒体🔶）；✅生成式AI用户5.15亿（CNNIC，第二批已核验）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