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309. “虚拟代言人，数字分身”——数字人、虚拟形象广告代言接受度研究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研究对象：见过虚拟代言人（AI偶像/AI主播卖货）的消费者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核心问题/变量：认知渠道、可信度（vs真人）、购买影响（直播带货）、新鲜感vs违和感、接受度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H1：认知渠道、可信度（vs真人）显著影响接受度（待验证）；H2：不同人群（年龄/收入/城市等级）在上述关系中存在调节作用（待验证）。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🔶数字人直播带货规模（行业测算需核验）；✅AI虚拟主播行业破千亿（第七轮证据）；✅虚拟网红全球5.49亿美元（第七轮证据）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电商直播用户+数字人爱好者渠道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🔶数字人直播带货规模（行业测算需核验）；✅AI虚拟主播行业破千亿（第七轮证据）；✅虚拟网红全球5.49亿美元（第七轮证据）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