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392. “人形机器人，进厂打工人”——具身智能机器人在制造业上岗的接受度研究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确定行业：03_人工智能与数字科技（选择理由：贴合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研究对象：制造业从业者、企业主/管理者及关注 AI 就业的公众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核心问题/变量：人形机器人（宇树、优必选类）上岗接受度、岗位替代担忧、技能转型意愿、企业采购意愿、人机协作满意度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人形机器人（宇树、优必选类）上岗接受度（人机协作满意度）之间存在可检验的关系，且受群体差异（年龄/收入/地区/身份）调节（待验证）；H2：人形机器人（宇树、优必选类）上岗接受度是影响人机协作满意度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✅人形机器人产业发展政策（工信部等部委文件）；✅头部企业进厂应用案例（权威媒体）；🔶产业规模预测（行业报告须下载核验）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制造业集群企业访谈+从业者问卷；与099（家用机器人）区分：聚焦工厂场景与就业冲击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✅人形机器人产业发展政策（工信部等部委文件）；✅头部企业进厂应用案例（权威媒体）；🔶产业规模预测（行业报告须下载核验）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