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042. “AI 创作，副业新潮”——青年使用 AIGC 工具进行内容创作的参与意愿与收益研究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 岁尝试 AI 绘画/写作/短视频创作的青年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核心问题/变量：创作动机、工具满意度、投入时间、变现意愿、持续创作意愿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H1：创作动机、工具满意度显著影响持续创作意愿（待验证）；H2：不同人群（年龄/收入/城市等级）在上述关系中存在调节作用（待验证）。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