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465. “AI 生成内容，标识了吗”——AI生成内容标识新规知晓与接受度研究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研究对象：接触AI生成内容（文章/图片/视频）的网民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核心问题/变量：AI内容识别能力、标识新规知晓（强制标识）、对未标识内容的信任、平台执行评价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H1：AI内容识别能力、标识新规知晓（强制标识）显著影响平台执行评价（待验证）；H2：不同人群（年龄/收入/城市等级）在上述关系中存在调节作用（待验证）。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✅《人工智能生成合成内容标识办法》（2025年9月施行，第一批20题已核验）；✅生成式AI用户5.15亿（已核验）；✅AI绘画154亿元（第十批证据）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线上问卷（网民）+内容平台用户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✅《人工智能生成合成内容标识办法》（2025年9月施行，第一批20题已核验）；✅生成式AI用户5.15亿（已核验）；✅AI绘画154亿元（第十批证据）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