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482. “表情包大战，职场社交语言”——表情包、网络热梗在社交沟通中的使用研究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研究对象：频繁使用表情包（微信/职场群/家校群）的 18—45 岁用户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核心问题/变量：表情包使用场景（缓解尴尬/表达情绪）、职场表情包礼仪、代际差异（长辈误用）、自制表情包、热梗参与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H1：表情包使用场景（缓解尴尬/表达情绪）、职场表情包礼仪显著影响热梗参与（待验证）；H2：不同人群（年龄/收入/城市等级）在上述关系中存在调节作用（待验证）。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🔶表情包产业（"表情包经济"媒体分析需核验）；✅微信表情使用数据（微信公开课🔶）；✅网络热梗舆情（媒体）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线上问卷+社交内容分析；题材轻松有特色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🔶表情包产业（"表情包经济"媒体分析需核验）；✅微信表情使用数据（微信公开课🔶）；✅网络热梗舆情（媒体）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