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540. “老照片修复，AI 让记忆清晰”——AI 老照片、旧影像修复服务消费研究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研究对象：使用AI修复老照片、旧影像的消费者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核心问题/变量：修复动机（家族记忆/怀旧）、修复效果满意度、付费意愿与定价感知、隐私（照片上传）顾虑、情感价值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H1：修复动机（家族记忆/怀旧）、修复效果满意度显著影响情感价值（待验证）；H2：不同人群（年龄/收入/城市等级）在上述关系中存在调节作用（待验证）。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🔶AI老照片修复工具与市场报道（科技媒体须下载核验）；✅生成式AI服务管理办法（网信办）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社交平台话题社群问卷+服务商访谈；区别于102（AI写真）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🔶AI老照片修复工具与市场报道（科技媒体须下载核验）；✅生成式AI服务管理办法（网信办）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