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541. “AI 字幕，听障朋友的耳朵”——AI 实时字幕、无障碍听力服务消费研究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研究对象：听力障碍人群、需求实时字幕的会议/课堂参与者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核心问题/变量：AI实时字幕（会议/网课/视频）使用场景与体验、准确率、付费意愿、与手语/人工转写对比、无障碍政策衔接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实时字幕（会议/网课/视频）使用场景与体验、准确率（无障碍政策衔接）之间存在可检验的关系，且受群体差异（年龄/收入/地区/身份）调节（待验证）；H2：AI实时字幕（会议/网课/视频）使用场景与体验、准确率是影响无障碍政策衔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🔶AI无障碍应用案例（媒体报道须下载核验）；✅无障碍环境建设法（全国人大）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听障社群（聋协）问卷+产品方访谈；区别于373（无障碍阅读）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🔶AI无障碍应用案例（媒体报道须下载核验）；✅无障碍环境建设法（全国人大）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