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625. “AI 数字分身，替我去开会”——AI 数字人分身商用场景接受度研究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研究对象：使用或了解AI数字分身（会议/直播/客服）的企业用户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核心问题/变量：数字分身应用场景认知、效率与成本权衡、形象授权与隐私、与真人服务对比、行业采纳意愿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H1：数字分身应用场景认知、效率与成本权衡显著影响行业采纳意愿（待验证）；H2：不同人群（年龄/收入/城市等级）在上述关系中存在调节作用（待验证）。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🔶AI数字人商用报道（科技媒体须下载核验）；✅生成式AI管理办法（网信办）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企业用户问卷+服务商访谈；获奖黑名单核对：近三年无AI数字分身获奖题（区别于484主播）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🔶AI数字人商用报道（科技媒体须下载核验）；✅生成式AI管理办法（网信办）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