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646. “AI 手机，换机理由”——AI手机功能与换机意愿研究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研究对象：在售AI手机（端侧大模型）用户及潜在换机者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核心问题/变量：AI手机功能（通话摘要/消除/识图）使用率、换机驱动、与普通旗舰对比、隐私（端侧处理）信任、溢价接受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H1：AI手机功能（通话摘要/消除/识图）使用率、换机驱动显著影响溢价接受（待验证）；H2：不同人群（年龄/收入/城市等级）在上述关系中存在调节作用（待验证）。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🔶AI手机市场报告（行业报告须下载核验）；✅移动智能终端管理规定（工信部）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手机渠道问卷+用户访谈；获奖黑名单核对：近三年无AI手机获奖题（区别于216手机消费）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🔶AI手机市场报告（行业报告须下载核验）；✅移动智能终端管理规定（工信部）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