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706. “AI 简历优化，求职第一步”——AI 简历与求职材料优化服务消费研究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研究对象：使用AI简历修改/面试模拟工具的求职者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核心问题/变量：AI简历使用场景（应届/跳槽）、优化效果感知（通过率/面试邀约）、付费意愿、夸大风险（简历造假）、与人工修改对比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H1：AI简历使用场景（应届/跳槽）、优化效果感知（通过率/面试邀约）显著影响与人工修改对比（待验证）；H2：不同人群（年龄/收入/城市等级）在上述关系中存在调节作用（待验证）。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🔶AI求职工具报道（科技媒体须下载核验）；✅就业服务数字化政策（人社部）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求职社群问卷+工具方访谈；获奖黑名单核对：近三年无AI简历获奖题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🔶AI求职工具报道（科技媒体须下载核验）；✅就业服务数字化政策（人社部）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