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826. “AI 文物修复，让文物活起来”——AI技术在文物保护修复中的应用与公众认知研究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研究对象：关注AI修复文物（壁画/青铜器）新闻的公众与文博从业者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核心问题/变量：AI修复技术认知（精度/速度）、公众对AI修复的信任、数字化展示体验（线上文物）、AI与人工修复关系、伦理（过度复原）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修复技术认知（精度/速度）、公众对AI修复的信任（伦理（过度复原））之间存在可检验的关系，且受群体差异（年龄/收入/地区/身份）调节（待验证）；H2：AI修复技术认知（精度/速度）、公众对AI修复的信任是影响伦理（过度复原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🔶AI文物修复案例报道（央媒须下载核验）；✅文物科技保护政策（国家文物局）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博物馆渠道问卷+文保机构访谈；获奖黑名单核对：近三年无AI文物修复获奖题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🔶AI文物修复案例报道（央媒须下载核验）；✅文物科技保护政策（国家文物局）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