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899. “AI 情感陪伴拟人化，人机之恋”——AI恋人、情感陪伴（拟人化）使用研究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研究对象：使用AI恋人/情感陪伴App（Character.ai类）的用户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核心问题/变量：AI陪伴使用动机（孤独/倾诉/好奇）、人设定制（恋爱/朋友）、依赖程度与沉迷、现实社交替代效应、伦理与安全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H1：AI陪伴使用动机（孤独/倾诉/好奇）、人设定制（恋爱/朋友）显著影响伦理与安全（待验证）；H2：不同人群（年龄/收入/城市等级）在上述关系中存在调节作用（待验证）。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🔶AI情感陪伴产品与伦理讨论（网信办、媒体须下载核验）；✅生成式AI与未成年人保护（网信办）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AI陪伴用户问卷+伦理专家访谈；获奖黑名单核对：近三年无AI恋人获奖题（区别于39 AI陪伴泛题，聚焦拟人化恋情）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🔶AI情感陪伴产品与伦理讨论（网信办、媒体须下载核验）；✅生成式AI与未成年人保护（网信办）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