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098. “百镜大战，为何吃灰”——AI 眼镜尝鲜消费后的持续使用意愿与“吃灰”现象研究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研究阶段：mature（成熟期：满意度与优化研究）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研究对象：已购买 AI 眼镜并体验≥1个月的消费者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核心问题/变量：购买动机、使用频率场景、满意度、吃灰原因（功能鸡肋/重量/续航/隐私）、转推荐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H1：购买动机、使用频率场景显著影响转推荐（待验证）；H2：不同人群（年龄/收入/城市等级）在上述关系中存在调节作用（待验证）。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✅2026Q2中国智能眼镜出货同比-8%、音频类下滑35.4%、AR显示类+123%（同花顺金融网引 IDC）；🔶"AI眼镜卖得动戴不住"行业讨论（媒体评论）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数码社群定向问卷；反常识切入（卖得动、戴不住）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✅2026Q2中国智能眼镜出货同比-8%、音频类下滑35.4%、AR显示类+123%（同花顺金融网引 IDC）；🔶"AI眼镜卖得动戴不住"行业讨论（媒体评论）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