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995. “AI 养老监护，适老智能险”——AI养老监护（跌倒、睡眠监测）设备消费研究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研究对象：为父母配置AI监护设备（跌倒报警/睡眠监测）的子女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核心问题/变量：AI监护设备功能（跌倒/心率）、购买与使用（父母接受度）、隐私顾虑（摄像头）、误报烦扰、与人工养老替代、订阅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H1：AI监护设备功能（跌倒/心率）、购买与使用（父母接受度）显著影响订阅（待验证）；H2：不同人群（年龄/收入/城市等级）在上述关系中存在调节作用（待验证）。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🔶智慧养老产品政策（工信部、民政部）；🔶AI监护设备测评数据（须下载核验）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子女问卷+智能养老企业访谈；获奖黑名单核对：近三年无AI养老监护获奖题（区别于41 AI语音陪伴/523智能药盒）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🔶智慧养老产品政策（工信部、民政部）；🔶AI监护设备测评数据（须下载核验）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