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099. “机器人管家，进家服务”——人形机器人家庭服务接受度与购买意愿研究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研究对象：对人形机器人家用化有认知的 25—55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核心问题/变量：功能期望（家务/陪护/安保）、价格接受、信任与安全顾虑、购买意愿、替代人工服务意愿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H1：功能期望（家务/陪护/安保）、价格接受显著影响替代人工服务意愿（待验证）；H2：不同人群（年龄/收入/城市等级）在上述关系中存在调节作用（待验证）。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IDC：2026上半年全球人形机器人出货近2.5万台（+432.1%）、中国占77.9%、智元8600台领先（TechWeb）；✅当前出货集中于科研教育/展示（69%），家庭消费"刚出现苗头"；✅IDC预测2030年全球出货破75万台，家庭消费为多元驱动之一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科技展/数码直播间渠道；议题前沿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IDC：2026上半年全球人形机器人出货近2.5万台（+432.1%）、中国占77.9%、智元8600台领先（TechWeb）；✅当前出货集中于科研教育/展示（69%），家庭消费"刚出现苗头"；✅IDC预测2030年全球出货破75万台，家庭消费为多元驱动之一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