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002. “跟着赛事去旅行”——体育赛事游客文旅消费需求与目的地选择研究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研究对象：外地参赛者、陪同人员和赛事观众。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核心问题/变量：赛事吸引力、目的地形象、交通便利性、文旅线路偏好、消费预算。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H1：赛事吸引力、目的地形象显著影响消费预算。（待验证）；H2：不同人群（年龄/收入/城市等级）在上述关系中存在调节作用（待验证）。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S2，政策明确提出“跟着赛事去旅行”。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选择马拉松、球赛或地方特色赛事作为案例。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S2，政策明确提出“跟着赛事去旅行”。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