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038. “光影沉浸展，出片新去处”——沉浸式光影艺术展消费行为研究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研究对象：看过沉浸式光影艺术展（teamLab 式/敦煌光影秀等）的观众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核心问题/变量：观展动机（出片/亲子/艺术启蒙）、票价接受、互动体验评价、衍生品消费、同质化感知（"网红展当道"）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H1：观展动机（出片/亲子/艺术启蒙）、票价接受显著影响同质化感知（"网红展当道"）（待验证）；H2：不同人群（年龄/收入/城市等级）在上述关系中存在调节作用（待验证）。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🔶沉浸式产业市场规模（《2025中国沉浸式产业发展报告》需下载）；✅文旅部沉浸式空间培育行动；✅夜游政策扶持"沉浸式体验"（第十四轮证据）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沉浸展现场问卷+OTA；与473（剧本杀实景）区分：聚焦艺术展览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🔶沉浸式产业市场规模（《2025中国沉浸式产业发展报告》需下载）；✅文旅部沉浸式空间培育行动；✅夜游政策扶持"沉浸式体验"（第十四轮证据）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