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09. “低空文旅，云端看城”——城市低空观光产品的消费场景与价格偏好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本地居民、游客和景区游客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景观吸引力、飞行时长、安全感、价格、预约方式、复购意愿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景观吸引力、飞行时长显著影响复购意愿。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5，低空经济政策解读；S2，体育赛事与文旅融合政策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选择景区、城市地标或水上旅游线路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5，低空经济政策解读；S2，体育赛事与文旅融合政策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