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1046. “景区免门票，泼天流量”——国有景区免门票（门票经济转型）游客研究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研究对象：受益于景区免门票/低价门票政策的游客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核心问题/变量：免门票客流激增（人次）、二次消费替代（索道/餐饮）、游客体验（拥挤）、对周边民宿餐饮带动、门票政策评价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H1：免门票客流激增（人次）、二次消费替代（索道/餐饮）显著影响门票政策评价（待验证）；H2：不同人群（年龄/收入/城市等级）在上述关系中存在调节作用（待验证）。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🔶景区门票价格管理与转型政策（发改委、文旅部）；🔶免票景区数据（须下载核验）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免票景区实地问卷+文旅局访谈；获奖黑名单核对：近三年无免门票获奖题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🔶景区门票价格管理与转型政策（发改委、文旅部）；🔶免票景区数据（须下载核验）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