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108. “跟着悟空游山西”——游戏 IP 带动取景地文旅消费的游客动机与满意度研究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研究阶段：mature（成熟期：满意度与优化研究）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研究对象：因《黑神话：悟空》去过山西（或其他取景地）的游客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核心问题/变量：出游动机（游戏联动/古建文化/打卡）、消费支出、满意度、文创消费、重游意愿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H1：出游动机（游戏联动/古建文化/打卡）、消费支出显著影响重游意愿（待验证）；H2：不同人群（年龄/收入/城市等级）在上述关系中存在调节作用（待验证）。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全球销量破3000万份（🔶行业口径）；✅山西独占27处取景地；✅"跟着悟空游山西"不到两个月27处景点接待536.92万人、门票收入1.66亿元（文旅部）；✅"山西旅游"资讯指数+3178%（百度指数）✅小西天五一游客+264.46%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山西古建景区（小西天/应县木塔等）现场+线上社群；现象级 IP 自带流量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全球销量破3000万份（🔶行业口径）；✅山西独占27处取景地；✅"跟着悟空游山西"不到两个月27处景点接待536.92万人、门票收入1.66亿元（文旅部）；✅"山西旅游"资讯指数+3178%（百度指数）✅小西天五一游客+264.46%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