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110. “脱口秀开麦，快乐经济”——线下喜剧（脱口秀、喜剧俱乐部）消费行为研究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研究对象：看过线下脱口秀/喜剧演出的 18—40 岁观众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核心问题/变量：观演动机（解压/社交）、票价接受、消费频次、同好社群、推荐意愿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H1：观演动机（解压/社交）、票价接受显著影响推荐意愿（待验证）；H2：不同人群（年龄/收入/城市等级）在上述关系中存在调节作用（待验证）。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🔶脱口秀行业市场规模与头部厂牌数据（演出行业报告，需下载核对）；✅中国演出行业协会《2026年上半年全国演出市场发展简报》：演出票房304.08亿元（演出大盘证据）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喜剧俱乐部/笑果类门店+演出票务社群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🔶脱口秀行业市场规模与头部厂牌数据（演出行业报告，需下载核对）；✅中国演出行业协会《2026年上半年全国演出市场发展简报》：演出票房304.08亿元（演出大盘证据）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