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1119. “跟着微短剧去旅行，一剧一城”——微短剧带火城市（取景地）旅游研究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研究对象：因微短剧/影视取景而打卡城市的游客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核心问题/变量：微短剧带火目的地（取景地打卡）、剧集文旅联动（官方引流）、同款美食/妆造消费、流量转化率、复游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H1：微短剧带火目的地（取景地打卡）、剧集文旅联动（官方引流）显著影响复游（待验证）；H2：不同人群（年龄/收入/城市等级）在上述关系中存在调节作用（待验证）。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🔶跟着微短剧去旅行创作计划（广电总局、文旅部）；🔶取景地旅游数据（须下载核验）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取景地现场问卷+文旅部门访谈；获奖黑名单核对：近三年无微短剧取景旅游获奖题（区别于896圣地巡礼，聚焦剧集带火城市）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🔶跟着微短剧去旅行创作计划（广电总局、文旅部）；🔶取景地旅游数据（须下载核验）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