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1124. “体育赛事观赛游，跟着比赛走”——体育观赛旅游（去主场、客场）消费研究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研究对象：为看体育比赛（足球/篮球/排球）跨城观赛的球迷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核心问题/变量：观赛游动机（主队情结）、球票与差旅消费、主场氛围（客队区）、赛事+城市消费（美食）、复去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H1：观赛游动机（主队情结）、球票与差旅消费显著影响复去（待验证）；H2：不同人群（年龄/收入/城市等级）在上述关系中存在调节作用（待验证）。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🔶体育赛事经济政策（体育总局）；🔶观赛旅游数据（须下载核验）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赛场外问卷+票务平台访谈；获奖黑名单核对：近三年无观赛游获奖题（区别于234马拉松）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🔶体育赛事经济政策（体育总局）；🔶观赛旅游数据（须下载核验）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