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1126. “景区旅拍2.0，妆造升级”——景区旅拍（换装、妆造、跟拍）消费研究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研究对象：在景区体验旅拍（民族服饰/古风妆造）的游客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核心问题/变量：旅拍动机（出片/体验）、套餐价格（妆造+摄影）、服饰选择（藏服/苗服/汉服）、成片质量与修图、复拍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H1：旅拍动机（出片/体验）、套餐价格（妆造+摄影）显著影响复拍（待验证）；H2：不同人群（年龄/收入/城市等级）在上述关系中存在调节作用（待验证）。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🔶旅拍服务规范与投诉治理（文旅部、市场监管总局）；🔶旅拍市场规模（须下载核验）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旅拍门店实地问卷+摄影师访谈；获奖黑名单核对：近三年无景区旅拍获奖题（区别于112汉服簪花）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🔶旅拍服务规范与投诉治理（文旅部、市场监管总局）；🔶旅拍市场规模（须下载核验）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