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1127. “避暑康养旅居，候鸟式生活”——避暑旅居（夏季候鸟）康养消费研究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研究对象：夏季避暑旅居（贵州/云南/东北）的中老年与家庭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核心问题/变量：避暑旅居选择（凉爽城市）、租房/民宿长住（1-3月）、避暑康养消费（饮食/体检）、避暑地产带动、复去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H1：避暑旅居选择（凉爽城市）、租房/民宿长住（1-3月）显著影响复去（待验证）；H2：不同人群（年龄/收入/城市等级）在上述关系中存在调节作用（待验证）。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🔶避暑旅游与旅居康养政策（文旅部、气象局）；🔶避暑旅居数据（须下载核验）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避暑城市长租社区问卷+旅居机构访谈；获奖黑名单核对：近三年无避暑旅居获奖题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🔶避暑旅游与旅居康养政策（文旅部、气象局）；🔶避暑旅居数据（须下载核验）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