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1128. “小城文旅局长，网红营销出圈”——文旅局长出圈（短视频营销）效果研究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研究对象：因文旅局长短视频出圈而关注/前往的游客与文旅局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核心问题/变量：局长出圈内容（变装/喊话）、流量转化到访、文旅营销成本与效果、过度营销争议、可持续性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H1：局长出圈内容（变装/喊话）、流量转化到访显著影响可持续性（待验证）；H2：不同人群（年龄/收入/城市等级）在上述关系中存在调节作用（待验证）。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🔶文旅新媒体营销政策（文旅部）；🔶局长出圈案例数据（须下载核验）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文旅局访谈+游客问卷；获奖黑名单核对：近三年无文旅局长营销获奖题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🔶文旅新媒体营销政策（文旅部）；🔶局长出圈案例数据（须下载核验）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