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1215. “县域博物馆，小馆大藏”——县域博物馆（下沉文博热）参观研究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研究对象：参观县域博物馆（县级馆）的游客与居民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核心问题/变量：县域博物馆建设（文博热下沉）、馆藏特色（本地文物）、免费开放与讲解、亲子参观、县域文博带动、展陈升级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H1：县域博物馆建设（文博热下沉）、馆藏特色（本地文物）显著影响展陈升级（待验证）；H2：不同人群（年龄/收入/城市等级）在上述关系中存在调节作用（待验证）。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🔶博物馆改革发展政策（国家文物局、中宣部）；🔶县域博物馆数据（须下载核验）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县域博物馆渠道+观众问卷；获奖黑名单核对：近三年无县域博物馆获奖题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🔶博物馆改革发展政策（国家文物局、中宣部）；🔶县域博物馆数据（须下载核验）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