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1218. “非遗进景区，活态传承新打开方式”——非遗进景区（驻场、展销）消费研究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研究对象：在景区体验非遗（驻场演出/手作工坊）的游客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核心问题/变量：非遗驻场（皮影/戏台）、非遗手作（编织/扎染）、非遗购物（文创/土特产）、传承人收入、景区流量带动、年轻游客兴趣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H1：非遗驻场（皮影/戏台）、非遗手作（编织/扎染）显著影响年轻游客兴趣（待验证）；H2：不同人群（年龄/收入/城市等级）在上述关系中存在调节作用（待验证）。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🔶非遗与旅游融合发展政策（文旅部）；🔶非遗进景区案例（须下载核验）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景区非遗点位问卷+传承人访谈；获奖黑名单核对：近三年无非遗进景区获奖题（区别于1123非遗快闪，聚焦景区驻场）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🔶非遗与旅游融合发展政策（文旅部）；🔶非遗进景区案例（须下载核验）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