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1222. “演唱会开进县城，下沉演出潮”——演唱会（县级城市）下沉演出研究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建议地区：县城（可按省/市细化抽样框）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研究对象：参与县城/地级市演唱会（下沉场）的观众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核心问题/变量：演出下沉（县级场馆）、票价亲民（三线城市）、县城观演消费（餐饮住宿）、本地场馆运营、明星声量带动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演出下沉（县级场馆）、票价亲民（三线城市）（明星声量带动）之间存在可检验的关系，且受群体差异（年龄/收入/地区/身份）调节（待验证）；H2：演出下沉（县级场馆）、票价亲民（三线城市）是影响明星声量带动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🔶营业性演出下乡政策（文旅部）；🔶演出下沉数据（须下载核验）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县级场馆问卷+演出公司访谈；获奖黑名单核对：近三年无演出下沉获奖题（区别于77下沉演出泛题，聚焦县级）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🔶营业性演出下乡政策（文旅部）；🔶演出下沉数据（须下载核验）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