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1283. “冰雪经济2.0，南方冰雪乐园”——南方冰雪乐园（室内滑雪、娱雪）消费研究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研究对象：在南方冰雪乐园（室内滑雪/冰雕娱雪）体验的消费者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核心问题/变量：南方冰雪乐园（室内娱雪/滑雪）、冰雪经济扩容（南方大馆）、票价（200-400）、家庭娱乐场景、与北方冰雪对比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H1：南方冰雪乐园（室内娱雪/滑雪）、冰雪经济扩容（南方大馆）显著影响与北方冰雪对比（待验证）；H2：不同人群（年龄/收入/城市等级）在上述关系中存在调节作用（待验证）。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🔶冰雪经济发展政策（国务院、体育总局）；🔶南方冰雪场馆数据（须下载核验）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冰雪乐园渠道问卷+运营方访谈；获奖黑名单核对：近三年无南方冰雪乐园获奖题（区别于73/75/458冰雪旅游滑雪，聚焦南方室内乐园业态）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🔶冰雪经济发展政策（国务院、体育总局）；🔶南方冰雪场馆数据（须下载核验）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