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1285. “博物馆数字展，沉浸式看展”——博物馆数字展（沉浸式光影）消费研究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研究对象：参观博物馆数字沉浸展（光影/VR）的观众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核心问题/变量：数字展形式（全息/沉浸光影）、与传统展陈对比、门票价格（高于常展）、出片与体验、复看、科技与文物平衡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展形式（全息/沉浸光影）、与传统展陈对比（科技与文物平衡）之间存在可检验的关系，且受群体差异（年龄/收入/地区/身份）调节（待验证）；H2：数字展形式（全息/沉浸光影）、与传统展陈对比是影响科技与文物平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🔶博物馆数字化与科技赋能政策（国家文物局）；🔶数字文博展数据（须下载核验）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博物馆渠道+观众问卷；获奖黑名单核对：近三年无博物馆数字展获奖题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🔶博物馆数字化与科技赋能政策（国家文物局）；🔶数字文博展数据（须下载核验）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