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1288. “城墙马拉松，跑在城墙上”——城墙、古城墙马拉松（特色赛道）参与研究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建议地区：西安（可按省/市细化抽样框）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确定行业：04_文化旅游与演艺（选择理由：贴合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研究对象：参加城墙马拉松（西安/平遥类）的跑者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核心问题/变量：特色赛道（城墙跑）、赛事报名与名额、古城文旅联动（跑完游城）、参赛体验（跑道窄）、复跑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H1：特色赛道（城墙跑）、赛事报名与名额显著影响复跑（待验证）；H2：不同人群（年龄/收入/城市等级）在上述关系中存在调节作用（待验证）。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🔶马拉松赛事管理规范（体育总局）；🔶特色马拉松数据（须下载核验）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参赛跑者问卷+赛事运营方访谈；获奖黑名单核对：近三年无城墙马拉松获奖题（区别于234/650马拉松泛题，聚焦特色赛道）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🔶马拉松赛事管理规范（体育总局）；🔶特色马拉松数据（须下载核验）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