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135. “老厂房再生，文创新生”——工业遗产改造文创园消费行为研究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建议地区：北京（可按省/市细化抽样框）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确定行业：04_文化旅游与演艺（选择理由：贴合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研究对象：到访过老厂房改造文创园（北京798/首钢园/沈阳1905/东郊记忆等）的消费者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核心问题/变量：打卡动机、业态消费（餐饮/剧场/市集）、文化感知、停留时长、复访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H1：打卡动机、业态消费（餐饮/剧场/市集）显著影响复访（待验证）；H2：不同人群（年龄/收入/城市等级）在上述关系中存在调节作用（待验证）。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✅首钢园1438万人次/年；✅成都东郊记忆集聚330余家商企；✅沈阳1905文创园保留钢架天吊、聚集独立书店手作工坊；✅全国142家国家工业旅游示范基地、264项国家工业遗产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文创园现场+社交媒体打卡数据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✅首钢园1438万人次/年；✅成都东郊记忆集聚330余家商企；✅沈阳1905文创园保留钢架天吊、聚集独立书店手作工坊；✅全国142家国家工业旅游示范基地、264项国家工业遗产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