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1376. “县域文旅局长请战，反向旅游热”——反向旅游（县域冷门目的地）消费研究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建议地区：县域（可按省/市细化抽样框）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研究对象：选择反向旅游（冷门县域/小众城市）的游客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核心问题/变量：反向旅游动机（避开人潮/性价比）、小众目的地（县域爆火）、体验优势（不挤/原生态）、住宿物价、复访、带动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H1：反向旅游动机（避开人潮/性价比）、小众目的地（县域爆火）显著影响带动（待验证）；H2：不同人群（年龄/收入/城市等级）在上述关系中存在调节作用（待验证）。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🔶县域旅游与消费促进政策（文旅部）；🔶反向旅游数据（须下载核验）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县域景区问卷+文旅局访谈；获奖黑名单核对：近三年无反向旅游获奖题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🔶县域旅游与消费促进政策（文旅部）；🔶反向旅游数据（须下载核验）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