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1380. “县城图书馆，文化打卡新地标”——县域公共文化场馆（图书馆、文化馆）使用研究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研究对象：使用县域公共文化场馆（图书馆/美术馆/文化馆）的读者与观众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核心问题/变量：县域场馆建设（新馆/地标建筑）、免费开放（自习/借阅）、活动（讲座/展览）、县城文化消费（打卡）、运营维护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县域场馆建设（新馆/地标建筑）、免费开放（自习/借阅）（运营维护）之间存在可检验的关系，且受群体差异（年龄/收入/地区/身份）调节（待验证）；H2：县域场馆建设（新馆/地标建筑）、免费开放（自习/借阅）是影响运营维护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🔶公共文化服务与县域文化场馆政策（文旅部）；🔶县域场馆数据（须下载核验）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县域场馆问卷+文旅局访谈；获奖黑名单核对：近三年无县域文化场馆获奖题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🔶公共文化服务与县域文化场馆政策（文旅部）；🔶县域场馆数据（须下载核验）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