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138. “工业遗存，城市乡愁”——工业遗产保护中的居民情感记忆与文旅化接受度研究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建议地区：重庆（可按省/市细化抽样框）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研究对象：老工业基地城市（沈阳/武汉/重庆等）居民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核心问题/变量：工业记忆认同、老厂区改造接受度、文旅化消费参与、情感联结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H1：工业记忆认同、老厂区改造接受度显著影响情感联结（待验证）；H2：不同人群（年龄/收入/城市等级）在上述关系中存在调节作用（待验证）。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✅264项国家工业遗产（工信部）；✅沈阳铸造厂车间改造为中国工业博物馆、年接待133万人次（保护利用案例）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老工业城市社区/博物馆渠道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✅264项国家工业遗产（工信部）；✅沈阳铸造厂车间改造为中国工业博物馆、年接待133万人次（保护利用案例）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