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139. “年轻人在上班与上进间选择上香”——年轻人寺庙游、上香消费动机研究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研究对象：近一年去过寺庙/上香/参与祈福的 18—35 岁青年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核心问题/变量：出行动机（解压/求签/打卡/文化）、消费项目（门票/香火/法物/餐饮）、情绪收益、再访意愿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H1：出行动机（解压/求签/打卡/文化）、消费项目（门票/香火/法物/餐饮）显著影响再访意愿（待验证）；H2：不同人群（年龄/收入/城市等级）在上述关系中存在调节作用（待验证）。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✅寺庙经济2025年1000亿级、常年10%增速（媒体测算🔶）；✅2026上半年寺庙游客18—35岁占比近六成；✅抖音"寺庙"搜索指数年增超586%、90后00后占预订近50%（携程/平台）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寺庙景区/地铁口寺庙商圈现场问卷+线上社群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✅寺庙经济2025年1000亿级、常年10%增速（媒体测算🔶）；✅2026上半年寺庙游客18—35岁占比近六成；✅抖音"寺庙"搜索指数年增超586%、90后00后占预订近50%（携程/平台）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