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140. “祈福手串，好运UP”——祈福文创（手串、香囊、咖啡杯套）消费行为研究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研究对象：购买过寺庙/玄学系文创（雍和宫手串、慈悲咖啡杯套等）的年轻人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核心问题/变量：购买动机（好运心理/收藏/送礼）、价格接受、复购、社交分享、"玄学消费"态度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H1：购买动机（好运心理/收藏/送礼）、价格接受显著影响"玄学消费"态度（待验证）；H2：不同人群（年龄/收入/城市等级）在上述关系中存在调节作用（待验证）。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✅"祈福经济/玄学经济"扩展为法物购买等综合消费（百度百科）；✅雍和宫手串等祈福潮流现象（媒体）；✅情绪经济27186亿元（情绪消费大背景）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寺庙文创店/相关电商渠道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✅"祈福经济/玄学经济"扩展为法物购买等综合消费（百度百科）；✅雍和宫手串等祈福潮流现象（媒体）；✅情绪经济27186亿元（情绪消费大背景）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