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141. “寺庙咖啡，禅意一杯”——寺庙、寺院咖啡馆消费体验研究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建议地区：杭州（可按省/市细化抽样框）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研究对象：去过寺庙咖啡馆（如永福寺慈杯咖啡等）的消费者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核心问题/变量：打卡动机（反差感/禅意）、产品与氛围体验、消费金额、分享传播、复购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H1：打卡动机（反差感/禅意）、产品与氛围体验显著影响复购（待验证）；H2：不同人群（年龄/收入/城市等级）在上述关系中存在调节作用（待验证）。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🔶"寺庙+咖啡"为新消费现象（媒体多次报道，如杭州永福寺"慈杯"咖啡，需引原文）；✅寺庙经济与年轻化消费背景；✅咖啡市场2025年3549亿元（第二批已核验）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网红寺庙咖啡门店现场问卷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🔶"寺庙+咖啡"为新消费现象（媒体多次报道，如杭州永福寺"慈杯"咖啡，需引原文）；✅寺庙经济与年轻化消费背景；✅咖啡市场2025年3549亿元（第二批已核验）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