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143. “Citywalk，用脚步认识一座城”——城市漫步深度游消费行为研究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 岁城市居民、游客中的 Citywalk 参与者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核心问题/变量：参与频次与路线选择、动机（慢节奏/深度体验/社交打卡）、单次消费结构（餐饮、小店、文创）、对街区/小店经济的带动、复游意愿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H1：参与频次与路线选择、动机（慢节奏/深度体验/社交打卡）显著影响复游意愿（待验证）；H2：不同人群（年龄/收入/城市等级）在上述关系中存在调节作用（待验证）。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✅Citywalk 热度与城市漫步数据（权威媒体、平台年度报告）；🔶街区漫步消费报告（须下载核验）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社交平台招募+城市漫步社群问卷；与238（周末微度假）区分：聚焦步行深度游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✅Citywalk 热度与城市漫步数据（权威媒体、平台年度报告）；🔶街区漫步消费报告（须下载核验）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