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207. “避暑经济，清凉一夏”——夏季避暑旅游、清凉消费（避暑目的地、水上项目）研究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研究对象：有夏季避暑出游经历或需求的消费者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核心问题/变量：避暑目的地选择（山岳/海岛/北方）、消费支出、亲子占比、满意度、重游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H1：避暑目的地选择（山岳/海岛/北方）、消费支出显著影响重游（待验证）；H2：不同人群（年龄/收入/城市等级）在上述关系中存在调节作用（待验证）。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🔶"清凉经济/避暑旅游"为季节性热点（文旅部暑期旅游数据需核验）；✅文旅消费扩容政策背景；✅全国避暑旅游发展报告（🔶中国旅游研究院，需下载）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暑期旅游社群/旅行社渠道；与冰雪（73/74）形成四季对照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🔶"清凉经济/避暑旅游"为季节性热点（文旅部暑期旅游数据需核验）；✅文旅消费扩容政策背景；✅全国避暑旅游发展报告（🔶中国旅游研究院，需下载）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