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227. “博物馆文创，带回家”——博物馆文创、文博IP消费行为研究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研究对象：购买过博物馆文创（故宫/三星堆/省博）的游客或爱好者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核心问题/变量：购买动机（纪念/送礼/IP热爱）、品类偏好（冰箱贴/盲盒/服饰）、价格接受、复购、文创IP认同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H1：购买动机（纪念/送礼/IP热爱）、品类偏好（冰箱贴/盲盒/服饰）显著影响文创IP认同（待验证）；H2：不同人群（年龄/收入/城市等级）在上述关系中存在调节作用（待验证）。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🔶博物馆文创市场规模（行业报告需核验）；✅文博游热潮（第三批研学/文博数据背景）；✅故宫/三星堆文创现象级案例（媒体）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博物馆文创店现场+线上社群；与109题（夜游）区分：聚焦文创商品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🔶博物馆文创市场规模（行业报告需核验）；✅文博游热潮（第三批研学/文博数据背景）；✅故宫/三星堆文创现象级案例（媒体）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