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025. “国潮焕新，非遗入市”——非遗文创产品购买意愿与青年参与机制研究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研究对象：18—35 岁青年消费者。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核心问题/变量：文化认同、产品设计、实用性、社交传播、价格、购买意愿。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H1：文化认同、产品设计显著影响购买意愿。（待验证）；H2：不同人群（年龄/收入/城市等级）在上述关系中存在调节作用（待验证）。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S4，文化遗产保护传承“十五五”规划；本地非遗名录和文旅部门资料。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必须锁定一个具体项目，例如漆器、剪纸、地方戏曲或传统食品。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S4，文化遗产保护传承“十五五”规划；本地非遗名录和文旅部门资料。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