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285. “县城旅游，反向出圈”——县域旅游、反向旅游消费行为研究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建议地区：县域（可按省/市细化抽样框）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研究对象：去过县域目的地（小城/古镇/乡村）旅游的城市游客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核心问题/变量：目的地选择动机（松弛感/性价比/避人流）、消费支出、住宿餐饮体验、满意度、复游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H1：目的地选择动机（松弛感/性价比/避人流）、消费支出显著影响复游（待验证）；H2：不同人群（年龄/收入/城市等级）在上述关系中存在调节作用（待验证）。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🔶"反向旅游/县城游"现象（媒体多次报道，需引原文）；✅县域旅游收入数据（文旅部🔶需核验）；✅乡村旅游与乡村全面振兴政策背景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县域景区/OTA渠道；与89题（银发旅游）、58题（县域青年）区分：聚焦反向旅游现象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🔶"反向旅游/县城游"现象（媒体多次报道，需引原文）；✅县域旅游收入数据（文旅部🔶需核验）；✅乡村旅游与乡村全面振兴政策背景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