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289. “云游博物馆，数字看展”——数字文博（云展览、AR导览、数字藏品）消费体验研究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研究对象：用过博物馆线上展览/AR导览/数字文创的观众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核心问题/变量：使用场景、体验评价（沉浸感/信息量）、实体打卡转化、付费意愿、创新期待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H1：使用场景、体验评价（沉浸感/信息量）显著影响创新期待（待验证）；H2：不同人群（年龄/收入/城市等级）在上述关系中存在调节作用（待验证）。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🔶数字文博（国家文化数字化战略背景）；✅文博游热潮（研学37题数据衔接）；✅AI导览/虚拟试衣间等AI消费扩容（新华网2026半年报）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博物馆官方渠道+文博爱好者社群；与227题（文创购买）区分：聚焦数字体验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🔶数字文博（国家文化数字化战略背景）；✅文博游热潮（研学37题数据衔接）；✅AI导览/虚拟试衣间等AI消费扩容（新华网2026半年报）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