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347. “音乐节，现场经济的狂飙与洗牌”——音乐节消费行为与“一城一演”带动研究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研究对象：参加过音乐节（太湖湾/迷笛/草莓等）的观众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核心问题/变量：参与动机、票务消费（票价/黄牛）、现场消费（餐饮/周边/露营）、跨城出行、带动消费感知、满意度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H1：参与动机、票务消费（票价/黄牛）显著影响满意度（待验证）；H2：不同人群（年龄/收入/城市等级）在上述关系中存在调节作用（待验证）。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✅2026上半年全国100余场音乐节、总票房超9.8亿元（同比收缩）；✅太湖湾音乐节4天14万乐迷、直接营收1.2亿元、带动周边消费超9亿元；✅能盈利的音乐节不到15%（行业🔶）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音乐节现场+乐迷社群；与76题（演出下沉）区分：聚焦户外音乐节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✅2026上半年全国100余场音乐节、总票房超9.8亿元（同比收缩）；✅太湖湾音乐节4天14万乐迷、直接营收1.2亿元、带动周边消费超9亿元；✅能盈利的音乐节不到15%（行业🔶）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