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348. “美术馆看展，朋友圈打卡”——美术馆、艺术展览消费行为研究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研究对象：看过艺术展览（特展/双年展/打卡展）的城市观众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核心问题/变量：观展动机（艺术/社交/出片）、票价接受（免费vs付费展）、文创消费、观展频次、社交传播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H1：观展动机（艺术/社交/出片）、票价接受（免费vs付费展）显著影响社交传播（待验证）；H2：不同人群（年龄/收入/城市等级）在上述关系中存在调节作用（待验证）。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🔶美术馆特展经济（"博物馆热""看展热"媒体，需引原文）；✅文博游热潮（第三批研学数据衔接）；✅城市文化消费扩容政策背景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美术馆现场+看展社群渠道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🔶美术馆特展经济（"博物馆热""看展热"媒体，需引原文）；✅文博游热潮（第三批研学数据衔接）；✅城市文化消费扩容政策背景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